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lang w:val="en-US" w:eastAsia="zh-CN"/>
        </w:rPr>
      </w:pPr>
      <w:r>
        <w:rPr>
          <w:rFonts w:ascii="微软雅黑" w:hAnsi="微软雅黑" w:eastAsia="微软雅黑" w:cs="微软雅黑"/>
          <w:i w:val="0"/>
          <w:iCs w:val="0"/>
          <w:caps w:val="0"/>
          <w:color w:val="000000"/>
          <w:spacing w:val="0"/>
          <w:sz w:val="27"/>
          <w:szCs w:val="27"/>
        </w:rPr>
        <w:t>正（副）本</w:t>
      </w:r>
      <w:r>
        <w:rPr>
          <w:rFonts w:hint="eastAsia" w:ascii="微软雅黑" w:hAnsi="微软雅黑" w:eastAsia="微软雅黑" w:cs="微软雅黑"/>
          <w:i w:val="0"/>
          <w:iCs w:val="0"/>
          <w:caps w:val="0"/>
          <w:color w:val="000000"/>
          <w:spacing w:val="0"/>
          <w:sz w:val="27"/>
          <w:szCs w:val="27"/>
          <w:lang w:val="en-US" w:eastAsia="zh-CN"/>
        </w:rPr>
        <w:t>各一本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43ECBF0E">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lang w:val="en-US" w:eastAsia="zh-CN"/>
        </w:rPr>
      </w:pPr>
      <w:r>
        <w:rPr>
          <w:rFonts w:hint="eastAsia" w:ascii="微软雅黑" w:hAnsi="微软雅黑" w:eastAsia="微软雅黑" w:cs="微软雅黑"/>
          <w:i w:val="0"/>
          <w:iCs w:val="0"/>
          <w:caps w:val="0"/>
          <w:color w:val="000000"/>
          <w:spacing w:val="0"/>
          <w:sz w:val="44"/>
          <w:szCs w:val="44"/>
          <w:lang w:val="en-US" w:eastAsia="zh-CN"/>
        </w:rPr>
        <w:t>响</w:t>
      </w:r>
    </w:p>
    <w:p w14:paraId="6CBD6B0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lang w:val="en-US" w:eastAsia="zh-CN"/>
        </w:rPr>
      </w:pPr>
      <w:r>
        <w:rPr>
          <w:rFonts w:hint="eastAsia" w:ascii="微软雅黑" w:hAnsi="微软雅黑" w:eastAsia="微软雅黑" w:cs="微软雅黑"/>
          <w:i w:val="0"/>
          <w:iCs w:val="0"/>
          <w:caps w:val="0"/>
          <w:color w:val="000000"/>
          <w:spacing w:val="0"/>
          <w:sz w:val="44"/>
          <w:szCs w:val="44"/>
          <w:lang w:val="en-US" w:eastAsia="zh-CN"/>
        </w:rPr>
        <w:t>应</w:t>
      </w:r>
    </w:p>
    <w:p w14:paraId="26593F74">
      <w:pPr>
        <w:pStyle w:val="3"/>
        <w:keepNext w:val="0"/>
        <w:keepLines w:val="0"/>
        <w:widowControl/>
        <w:suppressLineNumbers w:val="0"/>
        <w:ind w:left="0" w:firstLine="3960" w:firstLineChars="900"/>
        <w:jc w:val="both"/>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项目报价表（根据项目需求报价）</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248F7F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1EC2A77D">
      <w:pPr>
        <w:spacing w:line="400" w:lineRule="exact"/>
        <w:jc w:val="left"/>
        <w:rPr>
          <w:rFonts w:hint="eastAsia" w:ascii="宋体" w:hAnsi="宋体"/>
          <w:sz w:val="27"/>
          <w:szCs w:val="27"/>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71369139"/>
      <w:bookmarkStart w:id="6" w:name="_Toc172120454"/>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bookmarkEnd w:id="8"/>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127397FD">
      <w:pPr>
        <w:pStyle w:val="2"/>
        <w:numPr>
          <w:ilvl w:val="0"/>
          <w:numId w:val="0"/>
        </w:numPr>
        <w:jc w:val="center"/>
        <w:rPr>
          <w:rFonts w:hint="default"/>
          <w:lang w:val="en-US" w:eastAsia="zh-CN"/>
        </w:rPr>
      </w:pPr>
      <w:r>
        <w:rPr>
          <w:rFonts w:hint="eastAsia"/>
          <w:lang w:val="en-US" w:eastAsia="zh-CN"/>
        </w:rPr>
        <w:t>6.报价表</w:t>
      </w:r>
    </w:p>
    <w:p w14:paraId="239ED0FD">
      <w:pPr>
        <w:bidi w:val="0"/>
        <w:rPr>
          <w:rFonts w:hint="default"/>
          <w:lang w:val="en-US" w:eastAsia="zh-CN"/>
        </w:rPr>
      </w:pPr>
    </w:p>
    <w:tbl>
      <w:tblPr>
        <w:tblStyle w:val="4"/>
        <w:tblW w:w="10642" w:type="dxa"/>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0"/>
        <w:gridCol w:w="1480"/>
        <w:gridCol w:w="1273"/>
        <w:gridCol w:w="2883"/>
        <w:gridCol w:w="2195"/>
        <w:gridCol w:w="1421"/>
      </w:tblGrid>
      <w:tr w14:paraId="56A9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D467">
            <w:pPr>
              <w:jc w:val="center"/>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eastAsia="zh-CN"/>
              </w:rPr>
              <w:t>方案类型</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C31D">
            <w:pPr>
              <w:jc w:val="center"/>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eastAsia="zh-CN"/>
              </w:rPr>
              <w:t>产品名称</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FB46">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品牌</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E07">
            <w:pPr>
              <w:jc w:val="center"/>
              <w:rPr>
                <w:rFonts w:hint="eastAsia" w:ascii="仿宋_GB2312" w:hAnsi="仿宋_GB2312" w:eastAsia="仿宋_GB2312" w:cs="仿宋_GB2312"/>
                <w:b/>
                <w:bCs/>
                <w:sz w:val="28"/>
                <w:szCs w:val="28"/>
                <w:lang w:val="en-US" w:eastAsia="zh-CN"/>
              </w:rPr>
            </w:pPr>
          </w:p>
          <w:p w14:paraId="44EC3DE1">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规格型号/份</w:t>
            </w:r>
          </w:p>
          <w:p w14:paraId="0CA340F7">
            <w:pPr>
              <w:jc w:val="center"/>
              <w:rPr>
                <w:rFonts w:hint="eastAsia" w:ascii="仿宋_GB2312" w:hAnsi="仿宋_GB2312" w:eastAsia="仿宋_GB2312" w:cs="仿宋_GB2312"/>
                <w:b/>
                <w:bCs/>
                <w:sz w:val="28"/>
                <w:szCs w:val="28"/>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4D6">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市场参考价（元）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2E1B">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报价（元）</w:t>
            </w:r>
          </w:p>
        </w:tc>
      </w:tr>
      <w:tr w14:paraId="1CF4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0D7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组合方案</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257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米+花生油</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BA1A">
            <w:pPr>
              <w:rPr>
                <w:rFonts w:hint="eastAsia" w:ascii="仿宋_GB2312" w:hAnsi="仿宋_GB2312" w:eastAsia="仿宋_GB2312" w:cs="仿宋_GB2312"/>
                <w:i w:val="0"/>
                <w:iCs w:val="0"/>
                <w:color w:val="000000"/>
                <w:sz w:val="28"/>
                <w:szCs w:val="2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F1B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25DE">
            <w:pPr>
              <w:jc w:val="center"/>
              <w:rPr>
                <w:rFonts w:hint="eastAsia" w:ascii="仿宋_GB2312" w:hAnsi="仿宋_GB2312" w:eastAsia="仿宋_GB2312" w:cs="仿宋_GB2312"/>
                <w:i w:val="0"/>
                <w:iCs w:val="0"/>
                <w:color w:val="000000"/>
                <w:sz w:val="28"/>
                <w:szCs w:val="28"/>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E924">
            <w:pPr>
              <w:jc w:val="center"/>
              <w:rPr>
                <w:rFonts w:hint="eastAsia" w:ascii="仿宋_GB2312" w:hAnsi="仿宋_GB2312" w:eastAsia="仿宋_GB2312" w:cs="仿宋_GB2312"/>
                <w:i w:val="0"/>
                <w:iCs w:val="0"/>
                <w:color w:val="000000"/>
                <w:sz w:val="28"/>
                <w:szCs w:val="28"/>
                <w:u w:val="none"/>
              </w:rPr>
            </w:pPr>
          </w:p>
        </w:tc>
      </w:tr>
      <w:tr w14:paraId="0379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F6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纯油方案</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5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花生油</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DD61">
            <w:pPr>
              <w:rPr>
                <w:rFonts w:hint="eastAsia" w:ascii="仿宋_GB2312" w:hAnsi="仿宋_GB2312" w:eastAsia="仿宋_GB2312" w:cs="仿宋_GB2312"/>
                <w:i w:val="0"/>
                <w:iCs w:val="0"/>
                <w:color w:val="000000"/>
                <w:sz w:val="28"/>
                <w:szCs w:val="2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486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D776">
            <w:pPr>
              <w:jc w:val="center"/>
              <w:rPr>
                <w:rFonts w:hint="eastAsia" w:ascii="仿宋_GB2312" w:hAnsi="仿宋_GB2312" w:eastAsia="仿宋_GB2312" w:cs="仿宋_GB2312"/>
                <w:i w:val="0"/>
                <w:iCs w:val="0"/>
                <w:color w:val="000000"/>
                <w:sz w:val="28"/>
                <w:szCs w:val="28"/>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4B08">
            <w:pPr>
              <w:jc w:val="center"/>
              <w:rPr>
                <w:rFonts w:hint="eastAsia" w:ascii="仿宋_GB2312" w:hAnsi="仿宋_GB2312" w:eastAsia="仿宋_GB2312" w:cs="仿宋_GB2312"/>
                <w:i w:val="0"/>
                <w:iCs w:val="0"/>
                <w:color w:val="000000"/>
                <w:sz w:val="28"/>
                <w:szCs w:val="28"/>
                <w:u w:val="none"/>
              </w:rPr>
            </w:pPr>
          </w:p>
        </w:tc>
      </w:tr>
      <w:tr w14:paraId="2075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106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AB92">
            <w:pPr>
              <w:numPr>
                <w:ilvl w:val="0"/>
                <w:numId w:val="0"/>
              </w:numPr>
              <w:jc w:val="left"/>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注：</w:t>
            </w:r>
            <w:r>
              <w:rPr>
                <w:rFonts w:hint="eastAsia" w:ascii="仿宋_GB2312" w:hAnsi="仿宋_GB2312" w:eastAsia="仿宋_GB2312" w:cs="仿宋_GB2312"/>
                <w:b w:val="0"/>
                <w:bCs w:val="0"/>
                <w:i w:val="0"/>
                <w:iCs w:val="0"/>
                <w:color w:val="000000"/>
                <w:sz w:val="28"/>
                <w:szCs w:val="28"/>
                <w:u w:val="none"/>
                <w:lang w:val="en-US" w:eastAsia="zh-CN"/>
              </w:rPr>
              <w:t>1.此报价包含人工费、仓储、运输、乙方应当提供的伴随服务/售后服务的所有费用,所有风险因素均已考虑，不因任何原因增加费用。</w:t>
            </w:r>
          </w:p>
          <w:p w14:paraId="49FEA4B5">
            <w:pPr>
              <w:numPr>
                <w:ilvl w:val="0"/>
                <w:numId w:val="0"/>
              </w:numPr>
              <w:ind w:firstLine="560" w:firstLineChars="200"/>
              <w:jc w:val="left"/>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2.提供“米 + 油”为1份的组合礼包及纯油方案（如2桶油）形式；但无论采用哪种形式，每份市场价值 ≥ 300元，报价 ≤ 300元/份，且总份数按254份计（最终按实结算）。</w:t>
            </w:r>
          </w:p>
          <w:p w14:paraId="7B568B1E">
            <w:pPr>
              <w:numPr>
                <w:ilvl w:val="0"/>
                <w:numId w:val="0"/>
              </w:numPr>
              <w:ind w:firstLine="560" w:firstLineChars="200"/>
              <w:jc w:val="left"/>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3.所有产品须在保质期内并提供产品质检报告、供货能力说明、售后服务承诺等。</w:t>
            </w:r>
          </w:p>
          <w:p w14:paraId="3FA9A780">
            <w:pPr>
              <w:numPr>
                <w:ilvl w:val="0"/>
                <w:numId w:val="0"/>
              </w:numPr>
              <w:ind w:firstLine="562" w:firstLineChars="200"/>
              <w:jc w:val="left"/>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4.响应供应商为赣州蓉江新区区内企业优先考虑。</w:t>
            </w:r>
          </w:p>
        </w:tc>
      </w:tr>
    </w:tbl>
    <w:p w14:paraId="7811BEEF">
      <w:pPr>
        <w:bidi w:val="0"/>
        <w:rPr>
          <w:rFonts w:hint="default"/>
          <w:lang w:val="en-US" w:eastAsia="zh-CN"/>
        </w:rPr>
      </w:pPr>
    </w:p>
    <w:p w14:paraId="1CAE4953">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1F7EEC31">
      <w:pPr>
        <w:bidi w:val="0"/>
        <w:rPr>
          <w:rFonts w:hint="default"/>
          <w:lang w:val="en-US" w:eastAsia="zh-CN"/>
        </w:rPr>
      </w:pPr>
    </w:p>
    <w:p w14:paraId="5DFBAFEA">
      <w:pPr>
        <w:bidi w:val="0"/>
        <w:rPr>
          <w:rFonts w:hint="default"/>
          <w:lang w:val="en-US" w:eastAsia="zh-CN"/>
        </w:rPr>
      </w:pPr>
    </w:p>
    <w:p w14:paraId="44C81C18">
      <w:pPr>
        <w:bidi w:val="0"/>
        <w:rPr>
          <w:rFonts w:hint="default"/>
          <w:lang w:val="en-US" w:eastAsia="zh-CN"/>
        </w:rPr>
      </w:pPr>
    </w:p>
    <w:p w14:paraId="0056B5B1">
      <w:pPr>
        <w:bidi w:val="0"/>
        <w:rPr>
          <w:rFonts w:hint="default"/>
          <w:lang w:val="en-US" w:eastAsia="zh-CN"/>
        </w:rPr>
      </w:pPr>
    </w:p>
    <w:p w14:paraId="501A22C3">
      <w:pPr>
        <w:bidi w:val="0"/>
        <w:rPr>
          <w:rFonts w:hint="default"/>
          <w:lang w:val="en-US" w:eastAsia="zh-CN"/>
        </w:rPr>
      </w:pPr>
    </w:p>
    <w:p w14:paraId="2516EEAC">
      <w:pPr>
        <w:bidi w:val="0"/>
        <w:rPr>
          <w:rFonts w:hint="default"/>
          <w:lang w:val="en-US" w:eastAsia="zh-CN"/>
        </w:rPr>
      </w:pPr>
    </w:p>
    <w:p w14:paraId="36C5E46B">
      <w:pPr>
        <w:bidi w:val="0"/>
        <w:rPr>
          <w:rFonts w:hint="default"/>
          <w:lang w:val="en-US" w:eastAsia="zh-CN"/>
        </w:rPr>
      </w:pPr>
    </w:p>
    <w:p w14:paraId="3B6949DA">
      <w:pPr>
        <w:bidi w:val="0"/>
        <w:rPr>
          <w:rFonts w:hint="default"/>
          <w:lang w:val="en-US" w:eastAsia="zh-CN"/>
        </w:rPr>
      </w:pPr>
    </w:p>
    <w:p w14:paraId="43EA7220">
      <w:pPr>
        <w:bidi w:val="0"/>
        <w:rPr>
          <w:rFonts w:hint="default"/>
          <w:lang w:val="en-US" w:eastAsia="zh-CN"/>
        </w:rPr>
      </w:pPr>
    </w:p>
    <w:p w14:paraId="6C6EC843">
      <w:pPr>
        <w:bidi w:val="0"/>
        <w:rPr>
          <w:rFonts w:hint="default"/>
          <w:lang w:val="en-US" w:eastAsia="zh-CN"/>
        </w:rPr>
      </w:pPr>
    </w:p>
    <w:p w14:paraId="263CB820">
      <w:pPr>
        <w:bidi w:val="0"/>
        <w:rPr>
          <w:rFonts w:hint="default"/>
          <w:lang w:val="en-US" w:eastAsia="zh-CN"/>
        </w:rPr>
      </w:pPr>
    </w:p>
    <w:p w14:paraId="4B2B620F">
      <w:pPr>
        <w:bidi w:val="0"/>
        <w:rPr>
          <w:rFonts w:hint="default"/>
          <w:lang w:val="en-US" w:eastAsia="zh-CN"/>
        </w:rPr>
      </w:pPr>
    </w:p>
    <w:p w14:paraId="77EE7649">
      <w:pPr>
        <w:bidi w:val="0"/>
        <w:rPr>
          <w:rFonts w:hint="default"/>
          <w:lang w:val="en-US" w:eastAsia="zh-CN"/>
        </w:rPr>
      </w:pPr>
    </w:p>
    <w:p w14:paraId="062AA0B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12EF634A">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7.其它（如特定资格条件等）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10731B73"/>
    <w:rsid w:val="19F96B17"/>
    <w:rsid w:val="1A645BF2"/>
    <w:rsid w:val="35B74748"/>
    <w:rsid w:val="49EA243F"/>
    <w:rsid w:val="52730EB5"/>
    <w:rsid w:val="575D6863"/>
    <w:rsid w:val="59E01058"/>
    <w:rsid w:val="5A0A51B8"/>
    <w:rsid w:val="5B887BB7"/>
    <w:rsid w:val="65940C53"/>
    <w:rsid w:val="6E61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1621</Words>
  <Characters>1673</Characters>
  <Lines>0</Lines>
  <Paragraphs>0</Paragraphs>
  <TotalTime>0</TotalTime>
  <ScaleCrop>false</ScaleCrop>
  <LinksUpToDate>false</LinksUpToDate>
  <CharactersWithSpaces>2025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2026-01-06T07:22:33Z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E6EFDCB8205E4C4B93B5C7D4ED4D367F_13</vt:lpwstr>
  </property>
  <property fmtid="{D5CDD505-2E9C-101B-9397-08002B2CF9AE}" pid="4" name="KSOTemplateDocerSaveRecord">
    <vt:lpwstr>eyJoZGlkIjoiNjg0YTY4NDAyNmUyNjc0YzEwNWNiOGNkZWNiZjQ4M2MiLCJ1c2VySWQiOiI5MzczNjM5MTYifQ==</vt:lpwstr>
  </property>
</Properties>
</file>